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A5" w:rsidRDefault="00DB588F">
      <w:r>
        <w:rPr>
          <w:rFonts w:eastAsia="Times New Roman" w:cs="Times New Roman"/>
          <w:b/>
          <w:bCs/>
          <w:i/>
          <w:iCs/>
        </w:rPr>
        <w:t>Tahoe-Sierra Preservation Council, Inc. v. Tahoe Regional Planning Agency</w:t>
      </w:r>
      <w:r>
        <w:rPr>
          <w:rFonts w:eastAsia="Times New Roman" w:cs="Times New Roman"/>
        </w:rPr>
        <w:t xml:space="preserve">, </w:t>
      </w:r>
      <w:hyperlink r:id="rId5" w:tooltip="List of United States Supreme Court cases, volume 535" w:history="1">
        <w:r>
          <w:rPr>
            <w:rStyle w:val="Hyperlink"/>
            <w:rFonts w:eastAsia="Times New Roman" w:cs="Times New Roman"/>
          </w:rPr>
          <w:t>535</w:t>
        </w:r>
      </w:hyperlink>
      <w:r>
        <w:rPr>
          <w:rFonts w:eastAsia="Times New Roman" w:cs="Times New Roman"/>
        </w:rPr>
        <w:t xml:space="preserve"> </w:t>
      </w:r>
      <w:hyperlink r:id="rId6" w:tooltip="United States Reports" w:history="1">
        <w:r>
          <w:rPr>
            <w:rStyle w:val="Hyperlink"/>
            <w:rFonts w:eastAsia="Times New Roman" w:cs="Times New Roman"/>
          </w:rPr>
          <w:t>U.S.</w:t>
        </w:r>
      </w:hyperlink>
      <w:r>
        <w:rPr>
          <w:rFonts w:eastAsia="Times New Roman" w:cs="Times New Roman"/>
        </w:rPr>
        <w:t xml:space="preserve"> 302 (2002),</w:t>
      </w:r>
      <w:hyperlink r:id="rId7" w:anchor="endnote_citation" w:history="1">
        <w:r>
          <w:rPr>
            <w:rStyle w:val="Hyperlink"/>
            <w:rFonts w:eastAsia="Times New Roman" w:cs="Times New Roman"/>
            <w:vertAlign w:val="superscript"/>
          </w:rPr>
          <w:t>[1]</w:t>
        </w:r>
      </w:hyperlink>
      <w:r>
        <w:rPr>
          <w:rFonts w:eastAsia="Times New Roman" w:cs="Times New Roman"/>
        </w:rPr>
        <w:t xml:space="preserve"> is one of the </w:t>
      </w:r>
      <w:hyperlink r:id="rId8" w:tooltip="Supreme Court of the United States" w:history="1">
        <w:r>
          <w:rPr>
            <w:rStyle w:val="Hyperlink"/>
            <w:rFonts w:eastAsia="Times New Roman" w:cs="Times New Roman"/>
          </w:rPr>
          <w:t>United States Supreme Court</w:t>
        </w:r>
      </w:hyperlink>
      <w:r>
        <w:rPr>
          <w:rFonts w:eastAsia="Times New Roman" w:cs="Times New Roman"/>
        </w:rPr>
        <w:t xml:space="preserve">'s more recent interpretations of the Takings Clause of the </w:t>
      </w:r>
      <w:hyperlink r:id="rId9" w:tooltip="Fifth Amendment to the United States Constitution" w:history="1">
        <w:r>
          <w:rPr>
            <w:rStyle w:val="Hyperlink"/>
            <w:rFonts w:eastAsia="Times New Roman" w:cs="Times New Roman"/>
          </w:rPr>
          <w:t>Fifth</w:t>
        </w:r>
      </w:hyperlink>
      <w:r>
        <w:rPr>
          <w:rFonts w:eastAsia="Times New Roman" w:cs="Times New Roman"/>
        </w:rPr>
        <w:t xml:space="preserve"> and </w:t>
      </w:r>
      <w:hyperlink r:id="rId10" w:tooltip="Fourteenth Amendment to the United States Constitution" w:history="1">
        <w:r>
          <w:rPr>
            <w:rStyle w:val="Hyperlink"/>
            <w:rFonts w:eastAsia="Times New Roman" w:cs="Times New Roman"/>
          </w:rPr>
          <w:t>Fourteenth</w:t>
        </w:r>
      </w:hyperlink>
      <w:r>
        <w:rPr>
          <w:rFonts w:eastAsia="Times New Roman" w:cs="Times New Roman"/>
        </w:rPr>
        <w:t xml:space="preserve"> Amendments. The case dealt with the question of whether a </w:t>
      </w:r>
      <w:hyperlink r:id="rId11" w:tooltip="Moratorium (law)" w:history="1">
        <w:r>
          <w:rPr>
            <w:rStyle w:val="Hyperlink"/>
            <w:rFonts w:eastAsia="Times New Roman" w:cs="Times New Roman"/>
          </w:rPr>
          <w:t>moratorium</w:t>
        </w:r>
      </w:hyperlink>
      <w:r>
        <w:rPr>
          <w:rFonts w:eastAsia="Times New Roman" w:cs="Times New Roman"/>
        </w:rPr>
        <w:t xml:space="preserve"> on construction of individual homes imposed by the </w:t>
      </w:r>
      <w:hyperlink r:id="rId12" w:tooltip="Tahoe Regional Planning Agency" w:history="1">
        <w:r>
          <w:rPr>
            <w:rStyle w:val="Hyperlink"/>
            <w:rFonts w:eastAsia="Times New Roman" w:cs="Times New Roman"/>
          </w:rPr>
          <w:t>Tahoe Regional Planning Agency</w:t>
        </w:r>
      </w:hyperlink>
      <w:r>
        <w:rPr>
          <w:rFonts w:eastAsia="Times New Roman" w:cs="Times New Roman"/>
        </w:rPr>
        <w:t xml:space="preserve"> fell under the Takings Clause of the </w:t>
      </w:r>
      <w:hyperlink r:id="rId13" w:tooltip="United States Constitution" w:history="1">
        <w:r>
          <w:rPr>
            <w:rStyle w:val="Hyperlink"/>
            <w:rFonts w:eastAsia="Times New Roman" w:cs="Times New Roman"/>
          </w:rPr>
          <w:t>United States Constitution</w:t>
        </w:r>
      </w:hyperlink>
      <w:r>
        <w:rPr>
          <w:rFonts w:eastAsia="Times New Roman" w:cs="Times New Roman"/>
        </w:rPr>
        <w:t xml:space="preserve"> and whether the landowners therefore should receive just compensation as required by that clause. The Tahoe Regional Planning Agency was represented by future Chief Justice </w:t>
      </w:r>
      <w:hyperlink r:id="rId14" w:tooltip="John Roberts" w:history="1">
        <w:proofErr w:type="gramStart"/>
        <w:r>
          <w:rPr>
            <w:rStyle w:val="Hyperlink"/>
            <w:rFonts w:eastAsia="Times New Roman" w:cs="Times New Roman"/>
          </w:rPr>
          <w:t>John</w:t>
        </w:r>
        <w:proofErr w:type="gramEnd"/>
        <w:r>
          <w:rPr>
            <w:rStyle w:val="Hyperlink"/>
            <w:rFonts w:eastAsia="Times New Roman" w:cs="Times New Roman"/>
          </w:rPr>
          <w:t xml:space="preserve"> Roberts</w:t>
        </w:r>
      </w:hyperlink>
      <w:r>
        <w:rPr>
          <w:rFonts w:eastAsia="Times New Roman" w:cs="Times New Roman"/>
        </w:rPr>
        <w:t xml:space="preserve">. Justice </w:t>
      </w:r>
      <w:hyperlink r:id="rId15" w:tooltip="John Paul Stevens" w:history="1">
        <w:r>
          <w:rPr>
            <w:rStyle w:val="Hyperlink"/>
            <w:rFonts w:eastAsia="Times New Roman" w:cs="Times New Roman"/>
          </w:rPr>
          <w:t>John Paul Stevens</w:t>
        </w:r>
      </w:hyperlink>
      <w:r>
        <w:rPr>
          <w:rFonts w:eastAsia="Times New Roman" w:cs="Times New Roman"/>
        </w:rPr>
        <w:t xml:space="preserve"> wrote the opinion of the Court, finding that the </w:t>
      </w:r>
      <w:hyperlink r:id="rId16" w:tooltip="Moratorium (law)" w:history="1">
        <w:r>
          <w:rPr>
            <w:rStyle w:val="Hyperlink"/>
            <w:rFonts w:eastAsia="Times New Roman" w:cs="Times New Roman"/>
          </w:rPr>
          <w:t>moratorium</w:t>
        </w:r>
      </w:hyperlink>
      <w:r>
        <w:rPr>
          <w:rFonts w:eastAsia="Times New Roman" w:cs="Times New Roman"/>
        </w:rPr>
        <w:t xml:space="preserve"> did not constitute a taking. It reasoned that there was an inherent difference between the acquisition of </w:t>
      </w:r>
      <w:hyperlink r:id="rId17" w:tooltip="Property" w:history="1">
        <w:r>
          <w:rPr>
            <w:rStyle w:val="Hyperlink"/>
            <w:rFonts w:eastAsia="Times New Roman" w:cs="Times New Roman"/>
          </w:rPr>
          <w:t>property</w:t>
        </w:r>
      </w:hyperlink>
      <w:r>
        <w:rPr>
          <w:rFonts w:eastAsia="Times New Roman" w:cs="Times New Roman"/>
        </w:rPr>
        <w:t xml:space="preserve"> for public use and the regulation of property from private use. The majority concluded that the moratorium at issue in this case should be classified as a regulation of property from private use and therefore no compensation was required.</w:t>
      </w:r>
      <w:bookmarkStart w:id="0" w:name="_GoBack"/>
      <w:bookmarkEnd w:id="0"/>
    </w:p>
    <w:sectPr w:rsidR="00E163A5" w:rsidSect="00217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8F"/>
    <w:rsid w:val="00217817"/>
    <w:rsid w:val="00DB588F"/>
    <w:rsid w:val="00E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47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m.wikipedia.org/wiki/Moratorium_%28law%29" TargetMode="External"/><Relationship Id="rId12" Type="http://schemas.openxmlformats.org/officeDocument/2006/relationships/hyperlink" Target="https://en.m.wikipedia.org/wiki/Tahoe_Regional_Planning_Agency" TargetMode="External"/><Relationship Id="rId13" Type="http://schemas.openxmlformats.org/officeDocument/2006/relationships/hyperlink" Target="https://en.m.wikipedia.org/wiki/United_States_Constitution" TargetMode="External"/><Relationship Id="rId14" Type="http://schemas.openxmlformats.org/officeDocument/2006/relationships/hyperlink" Target="https://en.m.wikipedia.org/wiki/John_Roberts" TargetMode="External"/><Relationship Id="rId15" Type="http://schemas.openxmlformats.org/officeDocument/2006/relationships/hyperlink" Target="https://en.m.wikipedia.org/wiki/John_Paul_Stevens" TargetMode="External"/><Relationship Id="rId16" Type="http://schemas.openxmlformats.org/officeDocument/2006/relationships/hyperlink" Target="https://en.m.wikipedia.org/wiki/Moratorium_%28law%29" TargetMode="External"/><Relationship Id="rId17" Type="http://schemas.openxmlformats.org/officeDocument/2006/relationships/hyperlink" Target="https://en.m.wikipedia.org/wiki/Propert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m.wikipedia.org/wiki/List_of_United_States_Supreme_Court_cases,_volume_535" TargetMode="External"/><Relationship Id="rId6" Type="http://schemas.openxmlformats.org/officeDocument/2006/relationships/hyperlink" Target="https://en.m.wikipedia.org/wiki/United_States_Reports" TargetMode="External"/><Relationship Id="rId7" Type="http://schemas.openxmlformats.org/officeDocument/2006/relationships/hyperlink" Target="https://en.wikipedia.org/wiki/Tahoe-Sierra_Preservation_Council,_Inc._v._Tahoe_Regional_Planning_Agency" TargetMode="External"/><Relationship Id="rId8" Type="http://schemas.openxmlformats.org/officeDocument/2006/relationships/hyperlink" Target="https://en.m.wikipedia.org/wiki/Supreme_Court_of_the_United_States" TargetMode="External"/><Relationship Id="rId9" Type="http://schemas.openxmlformats.org/officeDocument/2006/relationships/hyperlink" Target="https://en.m.wikipedia.org/wiki/Fifth_Amendment_to_the_United_States_Constitution" TargetMode="External"/><Relationship Id="rId10" Type="http://schemas.openxmlformats.org/officeDocument/2006/relationships/hyperlink" Target="https://en.m.wikipedia.org/wiki/Fourteenth_Amendment_to_the_United_States_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Macintosh Word</Application>
  <DocSecurity>0</DocSecurity>
  <Lines>18</Lines>
  <Paragraphs>5</Paragraphs>
  <ScaleCrop>false</ScaleCrop>
  <Company>Greenwoods Art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Barnes</dc:creator>
  <cp:keywords/>
  <dc:description/>
  <cp:lastModifiedBy>Kathryn  Barnes</cp:lastModifiedBy>
  <cp:revision>1</cp:revision>
  <dcterms:created xsi:type="dcterms:W3CDTF">2018-02-14T13:31:00Z</dcterms:created>
  <dcterms:modified xsi:type="dcterms:W3CDTF">2018-02-14T13:31:00Z</dcterms:modified>
</cp:coreProperties>
</file>